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Malgun Gothic Semilight"/>
    <w:panose1 w:val="02020500000000000000"/>
    <w:charset w:val="88"/>
    <w:family w:val="roman"/>
    <w:pitch w:val="variable"/>
    <w:sig w:usb0="00000000"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4019" w14:textId="1178BDAD"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D27C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D27CA">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xDYp1x7s8oZZlHdvCNlvslrPzYdsDNcTaWQ67jAPdtlGJqPZoWURMaGLAn0aCW8i5F0RIbf723SzAGxHdyKb8Q==" w:salt="x+VfmZZFO36IOPlu6wwh3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27CA"/>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0C2DCDFE-EDC2-471E-B0DB-2519DF04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8B0FAFA4-445B-4FB7-836E-0ACA15E1AABC}">
  <ds:schemaRefs>
    <ds:schemaRef ds:uri="http://schemas.openxmlformats.org/officeDocument/2006/bibliography"/>
  </ds:schemaRefs>
</ds:datastoreItem>
</file>

<file path=customXml/itemProps24.xml><?xml version="1.0" encoding="utf-8"?>
<ds:datastoreItem xmlns:ds="http://schemas.openxmlformats.org/officeDocument/2006/customXml" ds:itemID="{8CC99507-8CAB-42D4-A166-87F2480D2728}">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